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908" w:rsidRDefault="00713908" w:rsidP="0071390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№2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43FF7">
        <w:rPr>
          <w:rFonts w:ascii="Times New Roman" w:hAnsi="Times New Roman" w:cs="Times New Roman"/>
          <w:b/>
          <w:sz w:val="28"/>
          <w:szCs w:val="28"/>
        </w:rPr>
        <w:t>Расчет производительности и количества автосамосвалов для транспортировки грунта</w:t>
      </w:r>
    </w:p>
    <w:p w:rsidR="00713908" w:rsidRDefault="00713908" w:rsidP="0071390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713908" w:rsidRDefault="00713908" w:rsidP="0071390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2 часа. </w:t>
      </w:r>
    </w:p>
    <w:p w:rsidR="00713908" w:rsidRPr="00F236C8" w:rsidRDefault="00713908" w:rsidP="0071390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  <w:r w:rsidRPr="00F236C8"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Задачу решать по своему варианту</w:t>
      </w:r>
      <w:r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  <w:t>.</w:t>
      </w:r>
      <w:bookmarkStart w:id="0" w:name="_GoBack"/>
      <w:bookmarkEnd w:id="0"/>
    </w:p>
    <w:p w:rsidR="00713908" w:rsidRPr="00307611" w:rsidRDefault="00713908" w:rsidP="00713908">
      <w:pPr>
        <w:pStyle w:val="1"/>
        <w:tabs>
          <w:tab w:val="left" w:pos="900"/>
          <w:tab w:val="left" w:pos="4680"/>
        </w:tabs>
        <w:spacing w:before="0" w:after="0"/>
        <w:ind w:left="490"/>
        <w:jc w:val="center"/>
        <w:rPr>
          <w:rFonts w:ascii="Times New Roman" w:hAnsi="Times New Roman"/>
          <w:b w:val="0"/>
          <w:sz w:val="20"/>
          <w:szCs w:val="20"/>
        </w:rPr>
      </w:pPr>
    </w:p>
    <w:p w:rsidR="00713908" w:rsidRPr="00943FF7" w:rsidRDefault="00713908" w:rsidP="00713908">
      <w:pPr>
        <w:pStyle w:val="a4"/>
        <w:ind w:firstLine="709"/>
        <w:jc w:val="both"/>
        <w:rPr>
          <w:rFonts w:ascii="Times New Roman" w:hAnsi="Times New Roman"/>
          <w:i w:val="0"/>
          <w:sz w:val="28"/>
          <w:szCs w:val="28"/>
        </w:rPr>
      </w:pPr>
      <w:r w:rsidRPr="00943FF7">
        <w:rPr>
          <w:rFonts w:ascii="Times New Roman" w:hAnsi="Times New Roman"/>
          <w:i w:val="0"/>
          <w:sz w:val="28"/>
          <w:szCs w:val="28"/>
        </w:rPr>
        <w:t>Предварительно подбирается тип самосвала по грузоподъемности, исходя из условия, что оптимальным соотношением производительности экскаватора и самосвалов является такой объем кузова самосвала, который вмещает 4-7 ковшей экскаватора.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Продолжительность цикла нагрузки автосамосвала грунтом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943FF7">
        <w:rPr>
          <w:rFonts w:ascii="Times New Roman" w:hAnsi="Times New Roman" w:cs="Times New Roman"/>
          <w:sz w:val="28"/>
          <w:szCs w:val="28"/>
        </w:rPr>
        <w:t xml:space="preserve">, минут, в зависимости от грузоподъемности автомобиля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943FF7">
        <w:rPr>
          <w:rFonts w:ascii="Times New Roman" w:hAnsi="Times New Roman" w:cs="Times New Roman"/>
          <w:sz w:val="28"/>
          <w:szCs w:val="28"/>
        </w:rPr>
        <w:t xml:space="preserve"> и с учетом времени на подачу машины в рабочую зону экскаватора, мы будем рассчитывать по формуле: 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c>
          <w:tcPr>
            <w:tcW w:w="9435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Q×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цэ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×K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р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γ×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q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э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×K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н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60×K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т</m:t>
                      </m:r>
                    </m:sub>
                  </m:sSub>
                </m:den>
              </m:f>
            </m:oMath>
            <w:r w:rsidRPr="00943FF7">
              <w:rPr>
                <w:sz w:val="28"/>
                <w:szCs w:val="28"/>
              </w:rPr>
              <w:t>,</w:t>
            </w:r>
          </w:p>
        </w:tc>
        <w:tc>
          <w:tcPr>
            <w:tcW w:w="419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 w:rsidRPr="00943FF7">
              <w:rPr>
                <w:sz w:val="28"/>
                <w:szCs w:val="28"/>
              </w:rPr>
              <w:t>(2.1)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pStyle w:val="a4"/>
        <w:jc w:val="both"/>
        <w:rPr>
          <w:rFonts w:ascii="Times New Roman" w:hAnsi="Times New Roman"/>
          <w:i w:val="0"/>
          <w:sz w:val="28"/>
          <w:szCs w:val="28"/>
        </w:rPr>
      </w:pPr>
      <w:r w:rsidRPr="00943FF7">
        <w:rPr>
          <w:rFonts w:ascii="Times New Roman" w:hAnsi="Times New Roman"/>
          <w:i w:val="0"/>
          <w:sz w:val="28"/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i w:val="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цэ</m:t>
            </m:r>
          </m:sub>
        </m:sSub>
      </m:oMath>
      <w:r w:rsidRPr="00943FF7">
        <w:rPr>
          <w:rFonts w:ascii="Times New Roman" w:hAnsi="Times New Roman"/>
          <w:i w:val="0"/>
          <w:sz w:val="28"/>
          <w:szCs w:val="28"/>
        </w:rPr>
        <w:t xml:space="preserve"> – цикл экскавации экскаватора; </w:t>
      </w:r>
      <m:oMath>
        <m:sSub>
          <m:sSubPr>
            <m:ctrlPr>
              <w:rPr>
                <w:rFonts w:ascii="Cambria Math" w:hAnsi="Cambria Math"/>
                <w:i w:val="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w:proofErr w:type="gramStart"/>
            <m:r>
              <w:rPr>
                <w:rFonts w:ascii="Cambria Math" w:hAnsi="Cambria Math"/>
                <w:sz w:val="28"/>
                <w:szCs w:val="28"/>
              </w:rPr>
              <m:t>р</m:t>
            </m:r>
            <w:proofErr w:type="gramEnd"/>
          </m:sub>
        </m:sSub>
      </m:oMath>
      <w:r w:rsidRPr="00943FF7">
        <w:rPr>
          <w:rFonts w:ascii="Times New Roman" w:hAnsi="Times New Roman"/>
          <w:i w:val="0"/>
          <w:sz w:val="28"/>
          <w:szCs w:val="28"/>
        </w:rPr>
        <w:t xml:space="preserve"> – коэффициент разрыхления; </w:t>
      </w:r>
      <m:oMath>
        <m:r>
          <w:rPr>
            <w:rFonts w:ascii="Cambria Math" w:hAnsi="Cambria Math"/>
            <w:sz w:val="28"/>
            <w:szCs w:val="28"/>
          </w:rPr>
          <m:t>γ</m:t>
        </m:r>
      </m:oMath>
      <w:r w:rsidRPr="00943FF7">
        <w:rPr>
          <w:rFonts w:ascii="Times New Roman" w:hAnsi="Times New Roman"/>
          <w:i w:val="0"/>
          <w:sz w:val="28"/>
          <w:szCs w:val="28"/>
        </w:rPr>
        <w:t xml:space="preserve">  - объемная масса грунта в плотном теле, т/м</w:t>
      </w:r>
      <w:r w:rsidRPr="00943FF7">
        <w:rPr>
          <w:rFonts w:ascii="Times New Roman" w:hAnsi="Times New Roman"/>
          <w:i w:val="0"/>
          <w:sz w:val="28"/>
          <w:szCs w:val="28"/>
          <w:vertAlign w:val="superscript"/>
        </w:rPr>
        <w:t>3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 w:val="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э</m:t>
            </m:r>
          </m:sub>
        </m:sSub>
      </m:oMath>
      <w:r w:rsidRPr="00943FF7">
        <w:rPr>
          <w:rFonts w:ascii="Times New Roman" w:hAnsi="Times New Roman"/>
          <w:i w:val="0"/>
          <w:sz w:val="28"/>
          <w:szCs w:val="28"/>
        </w:rPr>
        <w:t xml:space="preserve"> – емкость ковша экскаватора, м</w:t>
      </w:r>
      <w:r w:rsidRPr="00943FF7">
        <w:rPr>
          <w:rFonts w:ascii="Times New Roman" w:hAnsi="Times New Roman"/>
          <w:i w:val="0"/>
          <w:sz w:val="28"/>
          <w:szCs w:val="28"/>
          <w:vertAlign w:val="superscript"/>
        </w:rPr>
        <w:t>3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; </w:t>
      </w:r>
      <m:oMath>
        <m:sSub>
          <m:sSubPr>
            <m:ctrlPr>
              <w:rPr>
                <w:rFonts w:ascii="Cambria Math" w:hAnsi="Cambria Math"/>
                <w:i w:val="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K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н</m:t>
            </m:r>
          </m:sub>
        </m:sSub>
      </m:oMath>
      <w:r w:rsidRPr="00943FF7">
        <w:rPr>
          <w:rFonts w:ascii="Times New Roman" w:hAnsi="Times New Roman"/>
          <w:i w:val="0"/>
          <w:sz w:val="28"/>
          <w:szCs w:val="28"/>
        </w:rPr>
        <w:t xml:space="preserve"> –  коэффициент наполнения ковша плотным грунтом равен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н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 =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1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 /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р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 ;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1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 – коэффициент наполнения ковша разрыхленным грунтом, принимаемый для нормальных забоев от 1,1 до 1,2;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р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 – коэффициент первоначального разрыхления; 60 – переводной коэффициент секунд в минуты; К</w:t>
      </w:r>
      <w:r w:rsidRPr="00943FF7">
        <w:rPr>
          <w:rFonts w:ascii="Times New Roman" w:hAnsi="Times New Roman"/>
          <w:i w:val="0"/>
          <w:sz w:val="28"/>
          <w:szCs w:val="28"/>
          <w:vertAlign w:val="subscript"/>
        </w:rPr>
        <w:t>т</w:t>
      </w:r>
      <w:r w:rsidRPr="00943FF7">
        <w:rPr>
          <w:rFonts w:ascii="Times New Roman" w:hAnsi="Times New Roman"/>
          <w:i w:val="0"/>
          <w:sz w:val="28"/>
          <w:szCs w:val="28"/>
        </w:rPr>
        <w:t xml:space="preserve">– </w:t>
      </w:r>
      <w:proofErr w:type="gramStart"/>
      <w:r w:rsidRPr="00943FF7">
        <w:rPr>
          <w:rFonts w:ascii="Times New Roman" w:hAnsi="Times New Roman"/>
          <w:i w:val="0"/>
          <w:sz w:val="28"/>
          <w:szCs w:val="28"/>
        </w:rPr>
        <w:t>ко</w:t>
      </w:r>
      <w:proofErr w:type="gramEnd"/>
      <w:r w:rsidRPr="00943FF7">
        <w:rPr>
          <w:rFonts w:ascii="Times New Roman" w:hAnsi="Times New Roman"/>
          <w:i w:val="0"/>
          <w:sz w:val="28"/>
          <w:szCs w:val="28"/>
        </w:rPr>
        <w:t xml:space="preserve">эффициент транспорта зависит от времени маневрирования транспорта и равняется от 0,9 до 0,95..   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Теперь, зная цикл нагрузки, можно рассчитать длительность рейса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r w:rsidRPr="00943FF7">
        <w:rPr>
          <w:rFonts w:ascii="Times New Roman" w:hAnsi="Times New Roman" w:cs="Times New Roman"/>
          <w:sz w:val="28"/>
          <w:szCs w:val="28"/>
        </w:rPr>
        <w:t>, минут, или рабочего цикла автосамосвала по формуле: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= t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 xml:space="preserve"> + 2Lx60/v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 xml:space="preserve">ср </w:t>
      </w:r>
      <w:r w:rsidRPr="00943FF7">
        <w:rPr>
          <w:rFonts w:ascii="Times New Roman" w:hAnsi="Times New Roman" w:cs="Times New Roman"/>
          <w:sz w:val="28"/>
          <w:szCs w:val="28"/>
        </w:rPr>
        <w:t>+</w:t>
      </w:r>
      <w:proofErr w:type="spell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43FF7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c>
          <w:tcPr>
            <w:tcW w:w="9101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rPr>
                <w:sz w:val="28"/>
                <w:szCs w:val="28"/>
                <w:vertAlign w:val="subscript"/>
                <w:lang w:val="en-US"/>
              </w:rPr>
            </w:pPr>
          </w:p>
        </w:tc>
        <w:tc>
          <w:tcPr>
            <w:tcW w:w="753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 w:rsidRPr="00943FF7">
              <w:rPr>
                <w:sz w:val="28"/>
                <w:szCs w:val="28"/>
              </w:rPr>
              <w:t>(2.2)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где: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расстояние перевозки грунта, км;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расчетная скорость движения автосамосвала, км/ч, зависит  от грузоподъемности машины и дальности перевозки  грунта (таблица 2.1) (</w:t>
      </w:r>
      <w:r w:rsidRPr="00943FF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можно взять скорость холостого и </w:t>
      </w:r>
      <w:proofErr w:type="gramStart"/>
      <w:r w:rsidRPr="00943FF7">
        <w:rPr>
          <w:rFonts w:ascii="Times New Roman" w:hAnsi="Times New Roman" w:cs="Times New Roman"/>
          <w:b/>
          <w:i/>
          <w:sz w:val="28"/>
          <w:szCs w:val="28"/>
          <w:u w:val="single"/>
        </w:rPr>
        <w:t>груженного</w:t>
      </w:r>
      <w:proofErr w:type="gramEnd"/>
      <w:r w:rsidRPr="00943FF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движения автомобиля, тогда эта формула разбивается на две части</w:t>
      </w:r>
      <w:r w:rsidRPr="00943FF7">
        <w:rPr>
          <w:rFonts w:ascii="Times New Roman" w:hAnsi="Times New Roman" w:cs="Times New Roman"/>
          <w:sz w:val="28"/>
          <w:szCs w:val="28"/>
        </w:rPr>
        <w:t xml:space="preserve">)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продолжительность выполнения операции разгрузки автосамосвала (таблица 2.1), мин.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Сменную эксплуатационную производительность автосамосвала П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943FF7">
        <w:rPr>
          <w:rFonts w:ascii="Times New Roman" w:hAnsi="Times New Roman" w:cs="Times New Roman"/>
          <w:sz w:val="28"/>
          <w:szCs w:val="28"/>
        </w:rPr>
        <w:t>, т/смену, рассчитывают по формуле: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c>
          <w:tcPr>
            <w:tcW w:w="9315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а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60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см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ц</m:t>
                          </m:r>
                        </m:sub>
                      </m:sSub>
                    </m:den>
                  </m:f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×Q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гр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ва</m:t>
                  </m:r>
                </m:sub>
              </m:sSub>
            </m:oMath>
            <w:r w:rsidRPr="00943FF7">
              <w:rPr>
                <w:sz w:val="28"/>
                <w:szCs w:val="28"/>
              </w:rPr>
              <w:t xml:space="preserve"> ,</w:t>
            </w:r>
          </w:p>
        </w:tc>
        <w:tc>
          <w:tcPr>
            <w:tcW w:w="539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 w:rsidRPr="00943FF7">
              <w:rPr>
                <w:sz w:val="28"/>
                <w:szCs w:val="28"/>
              </w:rPr>
              <w:t>(2.3)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lastRenderedPageBreak/>
        <w:t xml:space="preserve">где: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см</m:t>
            </m:r>
          </m:sub>
        </m:sSub>
      </m:oMath>
      <w:r w:rsidRPr="00943FF7">
        <w:rPr>
          <w:rFonts w:ascii="Times New Roman" w:hAnsi="Times New Roman" w:cs="Times New Roman"/>
          <w:sz w:val="28"/>
          <w:szCs w:val="28"/>
        </w:rPr>
        <w:t xml:space="preserve"> –  сменное время в часах; К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ва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коэффициент использования сменного времени для автосамосвалов. В расчетах принимают К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ва</w:t>
      </w:r>
      <w:r w:rsidRPr="00943FF7">
        <w:rPr>
          <w:rFonts w:ascii="Times New Roman" w:hAnsi="Times New Roman" w:cs="Times New Roman"/>
          <w:sz w:val="28"/>
          <w:szCs w:val="28"/>
        </w:rPr>
        <w:t xml:space="preserve"> = 0,82…0,9. К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гр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коэффициент использования грузоподъемности автомобиля для перевозки грунта равен 1,0.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pacing w:val="20"/>
          <w:sz w:val="28"/>
          <w:szCs w:val="28"/>
        </w:rPr>
      </w:pPr>
      <w:r w:rsidRPr="00943FF7">
        <w:rPr>
          <w:rFonts w:ascii="Times New Roman" w:hAnsi="Times New Roman" w:cs="Times New Roman"/>
          <w:spacing w:val="20"/>
          <w:sz w:val="28"/>
          <w:szCs w:val="28"/>
        </w:rPr>
        <w:t>Расчет диспетчерского графика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Чтобы обеспечить в течение смены непрерывную работу экскаватора, количество автосамосвалов, необходимое для перевозки разработанного экскаватором грунта, принимают, исходя из сменной производительности участвующих в процессе автомашин и проверяют по продолжительности циклов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r w:rsidRPr="00943FF7">
        <w:rPr>
          <w:rFonts w:ascii="Times New Roman" w:hAnsi="Times New Roman" w:cs="Times New Roman"/>
          <w:sz w:val="28"/>
          <w:szCs w:val="28"/>
        </w:rPr>
        <w:t xml:space="preserve"> и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943FF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Для принятого числа автосамосвалов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943FF7">
        <w:rPr>
          <w:rFonts w:ascii="Times New Roman" w:hAnsi="Times New Roman" w:cs="Times New Roman"/>
          <w:sz w:val="28"/>
          <w:szCs w:val="28"/>
        </w:rPr>
        <w:t xml:space="preserve"> составляют сменный диспетчерский график работы (рисунок 2.1).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Принцип расчета диспетчерского графика заключается в следующем. Вначале устанавливают требуемое количество работающих в смену автосамосвалов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943FF7">
        <w:rPr>
          <w:rFonts w:ascii="Times New Roman" w:hAnsi="Times New Roman" w:cs="Times New Roman"/>
          <w:sz w:val="28"/>
          <w:szCs w:val="28"/>
        </w:rPr>
        <w:t>. Затем находят общее число рейсов из условия: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c>
          <w:tcPr>
            <w:tcW w:w="9615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э 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Q×K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г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×γ=60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ва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sup>
              </m:sSubSup>
            </m:oMath>
            <w:r w:rsidRPr="00943FF7">
              <w:rPr>
                <w:sz w:val="28"/>
                <w:szCs w:val="28"/>
              </w:rPr>
              <w:t>,</w:t>
            </w:r>
          </w:p>
        </w:tc>
        <w:tc>
          <w:tcPr>
            <w:tcW w:w="239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(2.4</w:t>
            </w:r>
            <w:r w:rsidRPr="00943FF7">
              <w:rPr>
                <w:sz w:val="28"/>
                <w:szCs w:val="28"/>
              </w:rPr>
              <w:t>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общее число рейсов работающих автосамосвалов, необходимое для обеспечения сменной производительности экскаватора. 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Разделив общее число рейсов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943FF7">
        <w:rPr>
          <w:rFonts w:ascii="Times New Roman" w:hAnsi="Times New Roman" w:cs="Times New Roman"/>
          <w:sz w:val="28"/>
          <w:szCs w:val="28"/>
        </w:rPr>
        <w:t xml:space="preserve"> на количество работающих в смену самосвалов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943FF7">
        <w:rPr>
          <w:rFonts w:ascii="Times New Roman" w:hAnsi="Times New Roman" w:cs="Times New Roman"/>
          <w:sz w:val="28"/>
          <w:szCs w:val="28"/>
        </w:rPr>
        <w:t>, получают число рейсов одного самосвала. Частоту подачи автосамосвалов под погрузку определяют по формуле: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c>
          <w:tcPr>
            <w:tcW w:w="9420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r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п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=60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см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р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н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ва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sup>
              </m:sSubSup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</m:oMath>
            <w:r w:rsidRPr="00943FF7">
              <w:rPr>
                <w:sz w:val="28"/>
                <w:szCs w:val="28"/>
              </w:rPr>
              <w:t>,</w:t>
            </w:r>
          </w:p>
        </w:tc>
        <w:tc>
          <w:tcPr>
            <w:tcW w:w="434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(2.5</w:t>
            </w:r>
            <w:r w:rsidRPr="00943FF7">
              <w:rPr>
                <w:sz w:val="28"/>
                <w:szCs w:val="28"/>
              </w:rPr>
              <w:t>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частота подачи самосвалов под погрузку, мин.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Продолжительность работ, в сменах, при условии, когда котлован разрабатывают одним комплектом машин, рассчитывают по формуле: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18"/>
        <w:gridCol w:w="753"/>
      </w:tblGrid>
      <w:tr w:rsidR="00713908" w:rsidRPr="00943FF7" w:rsidTr="009578C4">
        <w:trPr>
          <w:jc w:val="center"/>
        </w:trPr>
        <w:tc>
          <w:tcPr>
            <w:tcW w:w="9150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Т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см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э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×П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э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sup>
              </m:sSubSup>
            </m:oMath>
            <w:r w:rsidRPr="00943FF7">
              <w:rPr>
                <w:sz w:val="28"/>
                <w:szCs w:val="28"/>
              </w:rPr>
              <w:t>,</w:t>
            </w:r>
          </w:p>
        </w:tc>
        <w:tc>
          <w:tcPr>
            <w:tcW w:w="704" w:type="dxa"/>
            <w:vAlign w:val="center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(2.6</w:t>
            </w:r>
            <w:r w:rsidRPr="00943FF7">
              <w:rPr>
                <w:sz w:val="28"/>
                <w:szCs w:val="28"/>
              </w:rPr>
              <w:t>)</w:t>
            </w:r>
          </w:p>
        </w:tc>
      </w:tr>
    </w:tbl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r w:rsidRPr="00943FF7">
        <w:rPr>
          <w:rFonts w:ascii="Times New Roman" w:hAnsi="Times New Roman" w:cs="Times New Roman"/>
          <w:sz w:val="28"/>
          <w:szCs w:val="28"/>
        </w:rPr>
        <w:t xml:space="preserve"> – объем грунта в котловане, подлежащий выемке  экскаватором, м</w:t>
      </w:r>
      <w:r w:rsidRPr="00943FF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43FF7">
        <w:rPr>
          <w:rFonts w:ascii="Times New Roman" w:hAnsi="Times New Roman" w:cs="Times New Roman"/>
          <w:sz w:val="28"/>
          <w:szCs w:val="28"/>
        </w:rPr>
        <w:t>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Диспетчерский график состоит из двух схем: А – графика работы и движения автосамосвалов между пунктами погрузки и разгрузки (вертикальная ось графика) в течение сменного времени (горизонтальная ось) и</w:t>
      </w:r>
      <w:proofErr w:type="gramStart"/>
      <w:r w:rsidRPr="00943FF7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943FF7">
        <w:rPr>
          <w:rFonts w:ascii="Times New Roman" w:hAnsi="Times New Roman" w:cs="Times New Roman"/>
          <w:sz w:val="28"/>
          <w:szCs w:val="28"/>
        </w:rPr>
        <w:t xml:space="preserve"> – графика подачи автосамосвалов под погрузку. Схемы графика увязаны между собой по сменному времени и длительности циклов </w:t>
      </w:r>
      <w:proofErr w:type="gramStart"/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gramEnd"/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ц</w:t>
      </w:r>
      <w:r w:rsidRPr="00943FF7">
        <w:rPr>
          <w:rFonts w:ascii="Times New Roman" w:hAnsi="Times New Roman" w:cs="Times New Roman"/>
          <w:sz w:val="28"/>
          <w:szCs w:val="28"/>
        </w:rPr>
        <w:t xml:space="preserve"> ,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943FF7">
        <w:rPr>
          <w:rFonts w:ascii="Times New Roman" w:hAnsi="Times New Roman" w:cs="Times New Roman"/>
          <w:sz w:val="28"/>
          <w:szCs w:val="28"/>
        </w:rPr>
        <w:t xml:space="preserve"> и </w:t>
      </w:r>
      <w:r w:rsidRPr="00943FF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943FF7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943FF7">
        <w:rPr>
          <w:rFonts w:ascii="Times New Roman" w:hAnsi="Times New Roman" w:cs="Times New Roman"/>
          <w:sz w:val="28"/>
          <w:szCs w:val="28"/>
        </w:rPr>
        <w:t>.</w:t>
      </w:r>
    </w:p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lastRenderedPageBreak/>
        <w:t xml:space="preserve">Таблица 2.1 – Расчетная скорость движения автомобилей-самосвалов, </w:t>
      </w:r>
      <w:proofErr w:type="gramStart"/>
      <w:r w:rsidRPr="00943FF7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943FF7">
        <w:rPr>
          <w:rFonts w:ascii="Times New Roman" w:hAnsi="Times New Roman" w:cs="Times New Roman"/>
          <w:sz w:val="28"/>
          <w:szCs w:val="28"/>
        </w:rPr>
        <w:t>/ч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59"/>
        <w:gridCol w:w="851"/>
        <w:gridCol w:w="850"/>
        <w:gridCol w:w="851"/>
        <w:gridCol w:w="850"/>
        <w:gridCol w:w="1134"/>
        <w:gridCol w:w="1134"/>
        <w:gridCol w:w="1134"/>
        <w:gridCol w:w="993"/>
      </w:tblGrid>
      <w:tr w:rsidR="00713908" w:rsidRPr="00943FF7" w:rsidTr="009578C4">
        <w:tc>
          <w:tcPr>
            <w:tcW w:w="1559" w:type="dxa"/>
            <w:vMerge w:val="restart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 xml:space="preserve">Грузоподъемность, </w:t>
            </w:r>
            <w:proofErr w:type="gramStart"/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End"/>
          </w:p>
        </w:tc>
        <w:tc>
          <w:tcPr>
            <w:tcW w:w="7797" w:type="dxa"/>
            <w:gridSpan w:val="8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 xml:space="preserve">Дальность перемещения, </w:t>
            </w:r>
            <w:proofErr w:type="gramStart"/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proofErr w:type="gramEnd"/>
          </w:p>
        </w:tc>
      </w:tr>
      <w:tr w:rsidR="00713908" w:rsidRPr="00943FF7" w:rsidTr="009578C4">
        <w:tc>
          <w:tcPr>
            <w:tcW w:w="1559" w:type="dxa"/>
            <w:vMerge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3,0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993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</w:tr>
      <w:tr w:rsidR="00713908" w:rsidRPr="00943FF7" w:rsidTr="009578C4">
        <w:tc>
          <w:tcPr>
            <w:tcW w:w="1559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До 5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16,8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20,6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26,5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27,6</w:t>
            </w:r>
          </w:p>
        </w:tc>
        <w:tc>
          <w:tcPr>
            <w:tcW w:w="993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13908" w:rsidRPr="00943FF7" w:rsidTr="009578C4">
        <w:tc>
          <w:tcPr>
            <w:tcW w:w="1559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5…8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11,8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16,0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19,7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21,8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23,7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26,2</w:t>
            </w:r>
          </w:p>
        </w:tc>
        <w:tc>
          <w:tcPr>
            <w:tcW w:w="993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</w:tr>
      <w:tr w:rsidR="00713908" w:rsidRPr="00943FF7" w:rsidTr="009578C4">
        <w:tc>
          <w:tcPr>
            <w:tcW w:w="1559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8…12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17,6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19,4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21,5</w:t>
            </w:r>
          </w:p>
        </w:tc>
        <w:tc>
          <w:tcPr>
            <w:tcW w:w="993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</w:tr>
      <w:tr w:rsidR="00713908" w:rsidRPr="00943FF7" w:rsidTr="009578C4">
        <w:tc>
          <w:tcPr>
            <w:tcW w:w="1559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свыше 12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12,5</w:t>
            </w:r>
          </w:p>
        </w:tc>
        <w:tc>
          <w:tcPr>
            <w:tcW w:w="851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850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17,5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1134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</w:p>
        </w:tc>
        <w:tc>
          <w:tcPr>
            <w:tcW w:w="993" w:type="dxa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</w:tr>
      <w:tr w:rsidR="00713908" w:rsidRPr="00943FF7" w:rsidTr="009578C4">
        <w:tc>
          <w:tcPr>
            <w:tcW w:w="9356" w:type="dxa"/>
            <w:gridSpan w:val="9"/>
          </w:tcPr>
          <w:p w:rsidR="00713908" w:rsidRPr="00943FF7" w:rsidRDefault="00713908" w:rsidP="009578C4">
            <w:pPr>
              <w:tabs>
                <w:tab w:val="left" w:pos="540"/>
                <w:tab w:val="left" w:pos="558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43FF7">
              <w:rPr>
                <w:rFonts w:ascii="Times New Roman" w:hAnsi="Times New Roman" w:cs="Times New Roman"/>
                <w:sz w:val="28"/>
                <w:szCs w:val="28"/>
              </w:rPr>
              <w:t>При дальности свыше 4 км расчетная скорость – 25…30 км/ч</w:t>
            </w:r>
          </w:p>
        </w:tc>
      </w:tr>
    </w:tbl>
    <w:p w:rsidR="00713908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jc w:val="center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object w:dxaOrig="12975" w:dyaOrig="7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3.5pt;height:185.25pt" o:ole="" o:bordertopcolor="this" o:borderleftcolor="this" o:borderbottomcolor="this" o:borderrightcolor="this">
            <v:imagedata r:id="rId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AutoCAD.Drawing.15" ShapeID="_x0000_i1025" DrawAspect="Content" ObjectID="_1659940978" r:id="rId5"/>
        </w:objec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jc w:val="center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Рисунок  2.1 – Циклограмма движения автосамосвалов.</w:t>
      </w:r>
    </w:p>
    <w:p w:rsidR="00713908" w:rsidRPr="00943FF7" w:rsidRDefault="00713908" w:rsidP="00713908">
      <w:pPr>
        <w:tabs>
          <w:tab w:val="left" w:pos="540"/>
          <w:tab w:val="left" w:pos="5580"/>
        </w:tabs>
        <w:spacing w:after="0" w:line="240" w:lineRule="auto"/>
        <w:ind w:firstLine="454"/>
        <w:rPr>
          <w:rFonts w:ascii="Times New Roman" w:hAnsi="Times New Roman" w:cs="Times New Roman"/>
          <w:sz w:val="28"/>
          <w:szCs w:val="28"/>
        </w:rPr>
      </w:pPr>
    </w:p>
    <w:p w:rsidR="00713908" w:rsidRDefault="00713908" w:rsidP="00713908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Задача 2.1</w:t>
      </w:r>
      <w:proofErr w:type="gramStart"/>
      <w:r w:rsidRPr="00943FF7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Pr="00943FF7">
        <w:rPr>
          <w:rFonts w:ascii="Times New Roman" w:hAnsi="Times New Roman" w:cs="Times New Roman"/>
          <w:sz w:val="28"/>
          <w:szCs w:val="28"/>
        </w:rPr>
        <w:t>ешить аналогичную задачу с изменением ее условий согласно вариантам, приведенным в таблице 2.2.</w:t>
      </w:r>
    </w:p>
    <w:p w:rsidR="00713908" w:rsidRPr="00943FF7" w:rsidRDefault="00713908" w:rsidP="00713908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713908" w:rsidRPr="00943FF7" w:rsidRDefault="00713908" w:rsidP="00713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3FF7">
        <w:rPr>
          <w:rFonts w:ascii="Times New Roman" w:hAnsi="Times New Roman" w:cs="Times New Roman"/>
          <w:sz w:val="28"/>
          <w:szCs w:val="28"/>
        </w:rPr>
        <w:t>Таблица 2.2- Данные для определения построения циклограммы движения автосамосвалов.</w:t>
      </w:r>
    </w:p>
    <w:tbl>
      <w:tblPr>
        <w:tblStyle w:val="a3"/>
        <w:tblW w:w="0" w:type="auto"/>
        <w:jc w:val="center"/>
        <w:tblLook w:val="04A0"/>
      </w:tblPr>
      <w:tblGrid>
        <w:gridCol w:w="586"/>
        <w:gridCol w:w="1427"/>
        <w:gridCol w:w="1506"/>
        <w:gridCol w:w="1478"/>
        <w:gridCol w:w="2043"/>
        <w:gridCol w:w="1276"/>
        <w:gridCol w:w="1078"/>
      </w:tblGrid>
      <w:tr w:rsidR="00713908" w:rsidRPr="00F236C8" w:rsidTr="009578C4">
        <w:trPr>
          <w:cantSplit/>
          <w:trHeight w:val="485"/>
          <w:jc w:val="center"/>
        </w:trPr>
        <w:tc>
          <w:tcPr>
            <w:tcW w:w="586" w:type="dxa"/>
            <w:vMerge w:val="restart"/>
            <w:textDirection w:val="btL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ind w:left="113" w:right="113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Вариант</w:t>
            </w:r>
          </w:p>
        </w:tc>
        <w:tc>
          <w:tcPr>
            <w:tcW w:w="2933" w:type="dxa"/>
            <w:gridSpan w:val="2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Марка</w:t>
            </w:r>
          </w:p>
        </w:tc>
        <w:tc>
          <w:tcPr>
            <w:tcW w:w="1478" w:type="dxa"/>
            <w:vMerge w:val="restart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Вид грунта</w:t>
            </w:r>
          </w:p>
        </w:tc>
        <w:tc>
          <w:tcPr>
            <w:tcW w:w="2043" w:type="dxa"/>
            <w:vMerge w:val="restart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Дальность транспортировки,</w:t>
            </w: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  <w:lang w:val="en-US"/>
              </w:rPr>
              <w:t>L (</w:t>
            </w:r>
            <w:r w:rsidRPr="00F236C8">
              <w:rPr>
                <w:sz w:val="24"/>
                <w:szCs w:val="24"/>
              </w:rPr>
              <w:t>км)</w:t>
            </w:r>
          </w:p>
        </w:tc>
        <w:tc>
          <w:tcPr>
            <w:tcW w:w="1276" w:type="dxa"/>
            <w:vMerge w:val="restart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Время разгрузки,</w:t>
            </w: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  <w:lang w:val="en-US"/>
              </w:rPr>
              <w:t>t</w:t>
            </w:r>
            <w:r w:rsidRPr="00F236C8">
              <w:rPr>
                <w:sz w:val="24"/>
                <w:szCs w:val="24"/>
                <w:vertAlign w:val="subscript"/>
              </w:rPr>
              <w:t xml:space="preserve">р </w:t>
            </w:r>
            <w:r w:rsidRPr="00F236C8">
              <w:rPr>
                <w:sz w:val="24"/>
                <w:szCs w:val="24"/>
              </w:rPr>
              <w:t>(мин)</w:t>
            </w:r>
          </w:p>
        </w:tc>
        <w:tc>
          <w:tcPr>
            <w:tcW w:w="1078" w:type="dxa"/>
            <w:vMerge w:val="restart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Объем грунта,</w:t>
            </w: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  <w:lang w:val="en-US"/>
              </w:rPr>
              <w:t xml:space="preserve">V </w:t>
            </w:r>
            <w:r w:rsidRPr="00F236C8">
              <w:rPr>
                <w:sz w:val="24"/>
                <w:szCs w:val="24"/>
              </w:rPr>
              <w:t>(м</w:t>
            </w:r>
            <w:r w:rsidRPr="00F236C8">
              <w:rPr>
                <w:sz w:val="24"/>
                <w:szCs w:val="24"/>
                <w:vertAlign w:val="superscript"/>
              </w:rPr>
              <w:t>3</w:t>
            </w:r>
            <w:r w:rsidRPr="00F236C8">
              <w:rPr>
                <w:sz w:val="24"/>
                <w:szCs w:val="24"/>
              </w:rPr>
              <w:t>)</w:t>
            </w:r>
          </w:p>
        </w:tc>
      </w:tr>
      <w:tr w:rsidR="00713908" w:rsidRPr="00F236C8" w:rsidTr="009578C4">
        <w:trPr>
          <w:trHeight w:val="847"/>
          <w:jc w:val="center"/>
        </w:trPr>
        <w:tc>
          <w:tcPr>
            <w:tcW w:w="586" w:type="dxa"/>
            <w:vMerge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  <w:tc>
          <w:tcPr>
            <w:tcW w:w="1427" w:type="dxa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самосвала</w:t>
            </w:r>
          </w:p>
        </w:tc>
        <w:tc>
          <w:tcPr>
            <w:tcW w:w="1506" w:type="dxa"/>
            <w:vAlign w:val="center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экскаватора</w:t>
            </w:r>
          </w:p>
        </w:tc>
        <w:tc>
          <w:tcPr>
            <w:tcW w:w="1478" w:type="dxa"/>
            <w:vMerge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  <w:tc>
          <w:tcPr>
            <w:tcW w:w="2043" w:type="dxa"/>
            <w:vMerge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  <w:tc>
          <w:tcPr>
            <w:tcW w:w="1078" w:type="dxa"/>
            <w:vMerge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jc w:val="center"/>
              <w:rPr>
                <w:bCs/>
                <w:sz w:val="24"/>
                <w:szCs w:val="24"/>
              </w:rPr>
            </w:pPr>
            <w:r w:rsidRPr="00F236C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jc w:val="center"/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bCs/>
                <w:sz w:val="24"/>
                <w:szCs w:val="24"/>
              </w:rPr>
              <w:t>КАМАЗ-55102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Э-651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Песчаный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4,5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1,0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48,0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2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ЗИЛ-СААЗ-</w:t>
            </w:r>
            <w:r w:rsidRPr="00F236C8">
              <w:rPr>
                <w:bCs/>
                <w:sz w:val="24"/>
                <w:szCs w:val="24"/>
              </w:rPr>
              <w:t xml:space="preserve"> 4546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Э-1251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Суглинок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4,0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1,2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65,0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3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 xml:space="preserve">УРАЛ АС </w:t>
            </w:r>
            <w:r w:rsidRPr="00F236C8">
              <w:rPr>
                <w:bCs/>
                <w:sz w:val="24"/>
                <w:szCs w:val="24"/>
              </w:rPr>
              <w:t>583112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Э-1252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Глина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3,5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0,8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56,0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</w:t>
            </w: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bCs/>
                <w:sz w:val="24"/>
                <w:szCs w:val="24"/>
              </w:rPr>
              <w:t>ЗиЛ-ММЗ-450850</w:t>
            </w:r>
            <w:r w:rsidRPr="00F236C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Э-2001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Супесок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3,2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0,6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74,0</w:t>
            </w:r>
          </w:p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rPr>
                <w:sz w:val="24"/>
                <w:szCs w:val="24"/>
              </w:rPr>
            </w:pP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jc w:val="center"/>
              <w:rPr>
                <w:bCs/>
                <w:sz w:val="24"/>
                <w:szCs w:val="24"/>
              </w:rPr>
            </w:pPr>
            <w:r w:rsidRPr="00F236C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jc w:val="center"/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3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КамАЗ 65111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Э-1004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Суглинок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4,3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0,8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65,5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КамАЗ 65201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Э-651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Супесок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2,5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0,7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56,9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КамАЗ 6520-006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Э-1252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Суглинок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2,8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0,6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79,0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8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КамАЗ 43255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Э-2001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Глина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2,0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0,7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80,0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9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Урал 55571-40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Э-1004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Супесок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2,9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0,6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65,0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10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Урал 45289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Э-651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Суглинок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3,7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0,5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56,0</w:t>
            </w:r>
          </w:p>
        </w:tc>
      </w:tr>
      <w:tr w:rsidR="00713908" w:rsidRPr="00F236C8" w:rsidTr="009578C4">
        <w:trPr>
          <w:jc w:val="center"/>
        </w:trPr>
        <w:tc>
          <w:tcPr>
            <w:tcW w:w="58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11</w:t>
            </w:r>
          </w:p>
        </w:tc>
        <w:tc>
          <w:tcPr>
            <w:tcW w:w="1427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Урал-583106</w:t>
            </w:r>
          </w:p>
        </w:tc>
        <w:tc>
          <w:tcPr>
            <w:tcW w:w="1506" w:type="dxa"/>
          </w:tcPr>
          <w:p w:rsidR="00713908" w:rsidRPr="00F236C8" w:rsidRDefault="00713908" w:rsidP="009578C4">
            <w:pPr>
              <w:rPr>
                <w:sz w:val="24"/>
                <w:szCs w:val="24"/>
                <w:lang w:eastAsia="ko-KR"/>
              </w:rPr>
            </w:pPr>
            <w:r w:rsidRPr="00F236C8">
              <w:rPr>
                <w:sz w:val="24"/>
                <w:szCs w:val="24"/>
                <w:lang w:eastAsia="ko-KR"/>
              </w:rPr>
              <w:t>Э-1004</w:t>
            </w:r>
          </w:p>
        </w:tc>
        <w:tc>
          <w:tcPr>
            <w:tcW w:w="1478" w:type="dxa"/>
          </w:tcPr>
          <w:p w:rsidR="00713908" w:rsidRPr="00F236C8" w:rsidRDefault="00713908" w:rsidP="009578C4">
            <w:pPr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Супесок</w:t>
            </w:r>
          </w:p>
        </w:tc>
        <w:tc>
          <w:tcPr>
            <w:tcW w:w="2043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3,9</w:t>
            </w:r>
          </w:p>
        </w:tc>
        <w:tc>
          <w:tcPr>
            <w:tcW w:w="1276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0,7</w:t>
            </w:r>
          </w:p>
        </w:tc>
        <w:tc>
          <w:tcPr>
            <w:tcW w:w="1078" w:type="dxa"/>
          </w:tcPr>
          <w:p w:rsidR="00713908" w:rsidRPr="00F236C8" w:rsidRDefault="00713908" w:rsidP="009578C4">
            <w:pPr>
              <w:tabs>
                <w:tab w:val="left" w:pos="540"/>
                <w:tab w:val="left" w:pos="5580"/>
              </w:tabs>
              <w:jc w:val="center"/>
              <w:rPr>
                <w:sz w:val="24"/>
                <w:szCs w:val="24"/>
              </w:rPr>
            </w:pPr>
            <w:r w:rsidRPr="00F236C8">
              <w:rPr>
                <w:sz w:val="24"/>
                <w:szCs w:val="24"/>
              </w:rPr>
              <w:t>74,0</w:t>
            </w:r>
          </w:p>
        </w:tc>
      </w:tr>
    </w:tbl>
    <w:p w:rsidR="00713908" w:rsidRPr="00943FF7" w:rsidRDefault="00713908" w:rsidP="00713908">
      <w:pPr>
        <w:rPr>
          <w:rFonts w:ascii="Times New Roman" w:hAnsi="Times New Roman" w:cs="Times New Roman"/>
          <w:sz w:val="24"/>
          <w:szCs w:val="24"/>
        </w:rPr>
      </w:pPr>
    </w:p>
    <w:p w:rsidR="009B2A53" w:rsidRDefault="009B2A53"/>
    <w:sectPr w:rsidR="009B2A53" w:rsidSect="00CC5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3908"/>
    <w:rsid w:val="00713908"/>
    <w:rsid w:val="009B2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08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39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90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713908"/>
    <w:pPr>
      <w:spacing w:after="0" w:line="240" w:lineRule="auto"/>
    </w:pPr>
    <w:rPr>
      <w:rFonts w:ascii="Bookman Old Style" w:eastAsia="Times New Roman" w:hAnsi="Bookman Old Style" w:cs="Times New Roman"/>
      <w:i/>
      <w:sz w:val="24"/>
      <w:szCs w:val="20"/>
      <w:lang w:eastAsia="ko-KR"/>
    </w:rPr>
  </w:style>
  <w:style w:type="character" w:customStyle="1" w:styleId="a5">
    <w:name w:val="Основной текст Знак"/>
    <w:basedOn w:val="a0"/>
    <w:link w:val="a4"/>
    <w:rsid w:val="00713908"/>
    <w:rPr>
      <w:rFonts w:ascii="Bookman Old Style" w:eastAsia="Times New Roman" w:hAnsi="Bookman Old Style" w:cs="Times New Roman"/>
      <w:i/>
      <w:sz w:val="24"/>
      <w:szCs w:val="20"/>
      <w:lang w:eastAsia="ko-KR"/>
    </w:rPr>
  </w:style>
  <w:style w:type="paragraph" w:customStyle="1" w:styleId="1">
    <w:name w:val="Стиль1"/>
    <w:basedOn w:val="3"/>
    <w:rsid w:val="00713908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139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6">
    <w:name w:val="Balloon Text"/>
    <w:basedOn w:val="a"/>
    <w:link w:val="a7"/>
    <w:uiPriority w:val="99"/>
    <w:semiHidden/>
    <w:unhideWhenUsed/>
    <w:rsid w:val="00713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39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762</Words>
  <Characters>4348</Characters>
  <Application>Microsoft Office Word</Application>
  <DocSecurity>0</DocSecurity>
  <Lines>36</Lines>
  <Paragraphs>10</Paragraphs>
  <ScaleCrop>false</ScaleCrop>
  <Company/>
  <LinksUpToDate>false</LinksUpToDate>
  <CharactersWithSpaces>5100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2020-08-26T03:56:00Z</dcterms:created>
  <dcterms:modified xsi:type="dcterms:W3CDTF">2020-08-26T03:57:00Z</dcterms:modified>
</cp:coreProperties>
</file>